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54D2" w14:textId="77777777" w:rsidR="00C26EEF" w:rsidRDefault="00C26EEF" w:rsidP="003E204D">
      <w:pPr>
        <w:pStyle w:val="PlainTex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zh-TW"/>
        </w:rPr>
        <w:drawing>
          <wp:inline distT="0" distB="0" distL="0" distR="0" wp14:anchorId="22A6D2DF" wp14:editId="74F4876E">
            <wp:extent cx="1390484" cy="1276874"/>
            <wp:effectExtent l="0" t="0" r="0" b="0"/>
            <wp:docPr id="1" name="Picture 1" descr="R:\DCNA Logo\DCNA 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DCNA Logo\DCNA Logo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23" cy="12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AEBA1" w14:textId="77777777" w:rsidR="00C26EEF" w:rsidRDefault="00C26EEF" w:rsidP="003E204D">
      <w:pPr>
        <w:pStyle w:val="PlainTex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CE7CB3" w14:textId="77777777" w:rsidR="00C26EEF" w:rsidRDefault="00C26EEF" w:rsidP="003E204D">
      <w:pPr>
        <w:pStyle w:val="PlainTex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6928038" w14:textId="77777777" w:rsidR="00F8293D" w:rsidRDefault="00C077B5" w:rsidP="003E204D">
      <w:pPr>
        <w:pStyle w:val="PlainTex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0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DCNA &amp; </w:t>
      </w:r>
      <w:r w:rsidR="006D3FDF">
        <w:rPr>
          <w:rFonts w:ascii="Times New Roman" w:hAnsi="Times New Roman" w:cs="Times New Roman"/>
          <w:b/>
          <w:color w:val="FF0000"/>
          <w:sz w:val="28"/>
          <w:szCs w:val="28"/>
        </w:rPr>
        <w:t>Howard University/Howard University Hospital</w:t>
      </w:r>
    </w:p>
    <w:p w14:paraId="7D4DD017" w14:textId="77777777" w:rsidR="00C077B5" w:rsidRDefault="00C077B5" w:rsidP="003E204D">
      <w:pPr>
        <w:pStyle w:val="PlainTex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04D">
        <w:rPr>
          <w:rFonts w:ascii="Times New Roman" w:hAnsi="Times New Roman" w:cs="Times New Roman"/>
          <w:b/>
          <w:color w:val="FF0000"/>
          <w:sz w:val="28"/>
          <w:szCs w:val="28"/>
        </w:rPr>
        <w:t>Contract Negotiations</w:t>
      </w:r>
    </w:p>
    <w:p w14:paraId="2D34FAD7" w14:textId="77777777" w:rsidR="00D50D9A" w:rsidRPr="004A16B7" w:rsidRDefault="00D50D9A" w:rsidP="003E204D">
      <w:pPr>
        <w:pStyle w:val="PlainText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14:paraId="6487E6F1" w14:textId="77777777" w:rsidR="00C077B5" w:rsidRPr="007F7EC5" w:rsidRDefault="00942A9E" w:rsidP="005C1F93">
      <w:pPr>
        <w:pStyle w:val="PlainTex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F7EC5">
        <w:rPr>
          <w:rFonts w:ascii="Times New Roman" w:hAnsi="Times New Roman" w:cs="Times New Roman"/>
          <w:b/>
          <w:color w:val="002060"/>
          <w:sz w:val="28"/>
          <w:szCs w:val="28"/>
        </w:rPr>
        <w:t>Bargaining B</w:t>
      </w:r>
      <w:r w:rsidR="00187D1F" w:rsidRPr="007F7EC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ulletin # </w:t>
      </w:r>
      <w:r w:rsidR="002E2647" w:rsidRPr="007F7EC5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CC185E" w:rsidRPr="007F7EC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–</w:t>
      </w:r>
      <w:r w:rsidR="00FE7113" w:rsidRPr="007F7EC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8A3F3C" w:rsidRPr="007F7EC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June </w:t>
      </w:r>
      <w:r w:rsidR="007F7EC5" w:rsidRPr="007F7EC5">
        <w:rPr>
          <w:rFonts w:ascii="Times New Roman" w:hAnsi="Times New Roman" w:cs="Times New Roman"/>
          <w:b/>
          <w:color w:val="002060"/>
          <w:sz w:val="28"/>
          <w:szCs w:val="28"/>
        </w:rPr>
        <w:t>16</w:t>
      </w:r>
      <w:r w:rsidR="005C1F93" w:rsidRPr="007F7EC5">
        <w:rPr>
          <w:rFonts w:ascii="Times New Roman" w:hAnsi="Times New Roman" w:cs="Times New Roman"/>
          <w:b/>
          <w:color w:val="002060"/>
          <w:sz w:val="28"/>
          <w:szCs w:val="28"/>
        </w:rPr>
        <w:t>, 2025</w:t>
      </w:r>
    </w:p>
    <w:p w14:paraId="4CB3876A" w14:textId="77777777" w:rsidR="00B01D06" w:rsidRPr="00B01D06" w:rsidRDefault="00B01D06" w:rsidP="00B01D06">
      <w:pPr>
        <w:pStyle w:val="Plain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E5EBB83" w14:textId="77777777" w:rsidR="00C077B5" w:rsidRPr="00692D52" w:rsidRDefault="00C077B5" w:rsidP="00C077B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34C4770" w14:textId="77777777" w:rsidR="002E2647" w:rsidRDefault="00512B2A" w:rsidP="002E264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F25BEB">
        <w:rPr>
          <w:rFonts w:ascii="Times New Roman" w:hAnsi="Times New Roman" w:cs="Times New Roman"/>
          <w:sz w:val="28"/>
          <w:szCs w:val="28"/>
        </w:rPr>
        <w:t>June 4</w:t>
      </w:r>
      <w:r w:rsidR="005C1F93">
        <w:rPr>
          <w:rFonts w:ascii="Times New Roman" w:hAnsi="Times New Roman" w:cs="Times New Roman"/>
          <w:sz w:val="28"/>
          <w:szCs w:val="28"/>
        </w:rPr>
        <w:t>, 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77B5" w:rsidRPr="006738A7">
        <w:rPr>
          <w:rFonts w:ascii="Times New Roman" w:hAnsi="Times New Roman" w:cs="Times New Roman"/>
          <w:sz w:val="28"/>
          <w:szCs w:val="28"/>
        </w:rPr>
        <w:t xml:space="preserve">DCNA and </w:t>
      </w:r>
      <w:r w:rsidR="002E2647">
        <w:rPr>
          <w:rFonts w:ascii="Times New Roman" w:hAnsi="Times New Roman" w:cs="Times New Roman"/>
          <w:sz w:val="28"/>
          <w:szCs w:val="28"/>
        </w:rPr>
        <w:t>Howard University Hospital</w:t>
      </w:r>
      <w:r w:rsidR="005C1F93">
        <w:rPr>
          <w:rFonts w:ascii="Times New Roman" w:hAnsi="Times New Roman" w:cs="Times New Roman"/>
          <w:sz w:val="28"/>
          <w:szCs w:val="28"/>
        </w:rPr>
        <w:t xml:space="preserve"> commence</w:t>
      </w:r>
      <w:r w:rsidR="002E2647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bargaining over our successor collective bargaining agreement. </w:t>
      </w:r>
      <w:r w:rsidR="002E2647">
        <w:rPr>
          <w:rFonts w:ascii="Times New Roman" w:hAnsi="Times New Roman" w:cs="Times New Roman"/>
          <w:sz w:val="28"/>
          <w:szCs w:val="28"/>
        </w:rPr>
        <w:t>The fir</w:t>
      </w:r>
      <w:r w:rsidR="00F25BEB">
        <w:rPr>
          <w:rFonts w:ascii="Times New Roman" w:hAnsi="Times New Roman" w:cs="Times New Roman"/>
          <w:sz w:val="28"/>
          <w:szCs w:val="28"/>
        </w:rPr>
        <w:t>st session was an overview of each parties’ positions and no proposals were exchanged.</w:t>
      </w:r>
    </w:p>
    <w:p w14:paraId="105D6C08" w14:textId="77777777" w:rsidR="00F25BEB" w:rsidRDefault="00F25BEB" w:rsidP="00F25BEB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14:paraId="6B06284D" w14:textId="77777777" w:rsidR="00F25BEB" w:rsidRDefault="002E2647" w:rsidP="002E264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June 11</w:t>
      </w:r>
      <w:r w:rsidRPr="002E264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, DCNA presented HUH with our initial proposals, including compensation demands. </w:t>
      </w:r>
      <w:r w:rsidRPr="002E2647">
        <w:rPr>
          <w:rFonts w:ascii="Times New Roman" w:hAnsi="Times New Roman" w:cs="Times New Roman"/>
          <w:sz w:val="28"/>
          <w:szCs w:val="28"/>
        </w:rPr>
        <w:t>We reached agreement with HUH to maintain the language on 15 articles in the collective bargaining agreement, including</w:t>
      </w:r>
      <w:r w:rsidR="00F25BEB">
        <w:rPr>
          <w:rFonts w:ascii="Times New Roman" w:hAnsi="Times New Roman" w:cs="Times New Roman"/>
          <w:sz w:val="28"/>
          <w:szCs w:val="28"/>
        </w:rPr>
        <w:t>:</w:t>
      </w:r>
      <w:r w:rsidRPr="002E26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4F10E" w14:textId="77777777" w:rsidR="00F25BEB" w:rsidRDefault="00F25BEB" w:rsidP="00F25BEB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14:paraId="7DE09341" w14:textId="77777777" w:rsidR="00F25BEB" w:rsidRDefault="002E2647" w:rsidP="00F25BEB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2647">
        <w:rPr>
          <w:rFonts w:ascii="Times New Roman" w:hAnsi="Times New Roman" w:cs="Times New Roman"/>
          <w:sz w:val="28"/>
          <w:szCs w:val="28"/>
        </w:rPr>
        <w:t>grievance and ar</w:t>
      </w:r>
      <w:r w:rsidR="00F25BEB">
        <w:rPr>
          <w:rFonts w:ascii="Times New Roman" w:hAnsi="Times New Roman" w:cs="Times New Roman"/>
          <w:sz w:val="28"/>
          <w:szCs w:val="28"/>
        </w:rPr>
        <w:t>bitration rights and procedures</w:t>
      </w:r>
      <w:r w:rsidRPr="002E26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E1768" w14:textId="77777777" w:rsidR="00F25BEB" w:rsidRDefault="002E2647" w:rsidP="00F25BEB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2647">
        <w:rPr>
          <w:rFonts w:ascii="Times New Roman" w:hAnsi="Times New Roman" w:cs="Times New Roman"/>
          <w:sz w:val="28"/>
          <w:szCs w:val="28"/>
        </w:rPr>
        <w:t>recognition of the union as the representative of nurses, pharmacists,</w:t>
      </w:r>
      <w:r w:rsidR="00F25BEB">
        <w:rPr>
          <w:rFonts w:ascii="Times New Roman" w:hAnsi="Times New Roman" w:cs="Times New Roman"/>
          <w:sz w:val="28"/>
          <w:szCs w:val="28"/>
        </w:rPr>
        <w:t xml:space="preserve"> dietitians and social workers</w:t>
      </w:r>
    </w:p>
    <w:p w14:paraId="1F54AEC0" w14:textId="77777777" w:rsidR="00F25BEB" w:rsidRDefault="002E2647" w:rsidP="00F25BEB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2647">
        <w:rPr>
          <w:rFonts w:ascii="Times New Roman" w:hAnsi="Times New Roman" w:cs="Times New Roman"/>
          <w:sz w:val="28"/>
          <w:szCs w:val="28"/>
        </w:rPr>
        <w:t>right to have union representatives meet with DCNA members in disciplinary meetings and in grievance investi</w:t>
      </w:r>
      <w:r w:rsidR="00F25BEB">
        <w:rPr>
          <w:rFonts w:ascii="Times New Roman" w:hAnsi="Times New Roman" w:cs="Times New Roman"/>
          <w:sz w:val="28"/>
          <w:szCs w:val="28"/>
        </w:rPr>
        <w:t>gations</w:t>
      </w:r>
    </w:p>
    <w:p w14:paraId="0EC0B78C" w14:textId="77777777" w:rsidR="002E2647" w:rsidRDefault="002E2647" w:rsidP="00F25BEB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2647">
        <w:rPr>
          <w:rFonts w:ascii="Times New Roman" w:hAnsi="Times New Roman" w:cs="Times New Roman"/>
          <w:sz w:val="28"/>
          <w:szCs w:val="28"/>
        </w:rPr>
        <w:t>DCNA representation on numerous committees.</w:t>
      </w:r>
    </w:p>
    <w:p w14:paraId="124E2764" w14:textId="77777777" w:rsidR="00F25BEB" w:rsidRPr="002E2647" w:rsidRDefault="00F25BEB" w:rsidP="00F25BEB">
      <w:pPr>
        <w:pStyle w:val="PlainText"/>
        <w:ind w:left="1440"/>
        <w:rPr>
          <w:rFonts w:ascii="Times New Roman" w:hAnsi="Times New Roman" w:cs="Times New Roman"/>
          <w:sz w:val="28"/>
          <w:szCs w:val="28"/>
        </w:rPr>
      </w:pPr>
    </w:p>
    <w:p w14:paraId="5B49DD46" w14:textId="77777777" w:rsidR="00B01D06" w:rsidRDefault="00B01D06" w:rsidP="002E264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5C1F93">
        <w:rPr>
          <w:rFonts w:ascii="Times New Roman" w:hAnsi="Times New Roman" w:cs="Times New Roman"/>
          <w:sz w:val="28"/>
          <w:szCs w:val="28"/>
        </w:rPr>
        <w:t xml:space="preserve">have </w:t>
      </w:r>
      <w:r>
        <w:rPr>
          <w:rFonts w:ascii="Times New Roman" w:hAnsi="Times New Roman" w:cs="Times New Roman"/>
          <w:sz w:val="28"/>
          <w:szCs w:val="28"/>
        </w:rPr>
        <w:t xml:space="preserve">also </w:t>
      </w:r>
      <w:r w:rsidR="005C1F93">
        <w:rPr>
          <w:rFonts w:ascii="Times New Roman" w:hAnsi="Times New Roman" w:cs="Times New Roman"/>
          <w:sz w:val="28"/>
          <w:szCs w:val="28"/>
        </w:rPr>
        <w:t>agreed to meet on June 24, 27 and 30.</w:t>
      </w:r>
    </w:p>
    <w:p w14:paraId="3BBABE3E" w14:textId="77777777" w:rsidR="00F25BEB" w:rsidRDefault="00F25BEB" w:rsidP="00F25BEB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14:paraId="06211503" w14:textId="77777777" w:rsidR="00512B2A" w:rsidRDefault="00512B2A" w:rsidP="00B01D06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</w:t>
      </w:r>
      <w:r w:rsidR="005C1F93">
        <w:rPr>
          <w:rFonts w:ascii="Times New Roman" w:hAnsi="Times New Roman" w:cs="Times New Roman"/>
          <w:sz w:val="28"/>
          <w:szCs w:val="28"/>
        </w:rPr>
        <w:t>ontract expires on June 30, 2025</w:t>
      </w:r>
      <w:r>
        <w:rPr>
          <w:rFonts w:ascii="Times New Roman" w:hAnsi="Times New Roman" w:cs="Times New Roman"/>
          <w:sz w:val="28"/>
          <w:szCs w:val="28"/>
        </w:rPr>
        <w:t>. If DCNA believes progress towards an agreement is occurring at such time, we will seek to have an extension.</w:t>
      </w:r>
    </w:p>
    <w:p w14:paraId="3E2FC851" w14:textId="77777777" w:rsidR="002E2647" w:rsidRPr="00F25BEB" w:rsidRDefault="002E2647" w:rsidP="002E2647">
      <w:pPr>
        <w:pStyle w:val="PlainText"/>
        <w:rPr>
          <w:rFonts w:ascii="Times New Roman" w:hAnsi="Times New Roman" w:cs="Times New Roman"/>
          <w:color w:val="FF0000"/>
          <w:sz w:val="24"/>
          <w:szCs w:val="24"/>
        </w:rPr>
      </w:pPr>
    </w:p>
    <w:p w14:paraId="4A24960E" w14:textId="77777777" w:rsidR="00F25BEB" w:rsidRDefault="00F25BEB">
      <w:pPr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color w:val="FF0000"/>
          <w:sz w:val="24"/>
          <w:szCs w:val="24"/>
        </w:rPr>
        <w:t>More information on back!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9D6DA0" w14:textId="77777777" w:rsidR="00F25BEB" w:rsidRDefault="00F25BEB" w:rsidP="002E2647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A838B76" w14:textId="77777777" w:rsidR="00F25BEB" w:rsidRDefault="00F25BEB" w:rsidP="002E2647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3389FCEB" w14:textId="77777777" w:rsidR="007F7EC5" w:rsidRDefault="007F7EC5" w:rsidP="002E2647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FB88F0C" w14:textId="77777777" w:rsidR="007F7EC5" w:rsidRDefault="007F7EC5" w:rsidP="007F7EC5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zh-TW"/>
        </w:rPr>
        <w:drawing>
          <wp:inline distT="0" distB="0" distL="0" distR="0" wp14:anchorId="63FC7FAB" wp14:editId="68BAB4EF">
            <wp:extent cx="1390484" cy="1276874"/>
            <wp:effectExtent l="0" t="0" r="0" b="0"/>
            <wp:docPr id="2" name="Picture 2" descr="R:\DCNA Logo\DCNA 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DCNA Logo\DCNA Logo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23" cy="12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4AABB" w14:textId="77777777" w:rsidR="007F7EC5" w:rsidRDefault="007F7EC5" w:rsidP="002E2647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2926ACF0" w14:textId="77777777" w:rsidR="007F7EC5" w:rsidRDefault="007F7EC5" w:rsidP="002E2647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BC54755" w14:textId="77777777" w:rsidR="007F7EC5" w:rsidRDefault="007F7EC5" w:rsidP="002E2647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A4E610B" w14:textId="77777777" w:rsidR="007F7EC5" w:rsidRDefault="007F7EC5" w:rsidP="002E2647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5BEDC2AE" w14:textId="77777777" w:rsidR="002E2647" w:rsidRDefault="002E2647" w:rsidP="002E2647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HUH discussed with the DCNA bargaining team two major </w:t>
      </w:r>
      <w:r w:rsidR="00F25BEB">
        <w:rPr>
          <w:rFonts w:ascii="Times New Roman" w:hAnsi="Times New Roman" w:cs="Times New Roman"/>
          <w:sz w:val="28"/>
          <w:szCs w:val="28"/>
        </w:rPr>
        <w:t>issues</w:t>
      </w:r>
      <w:r>
        <w:rPr>
          <w:rFonts w:ascii="Times New Roman" w:hAnsi="Times New Roman" w:cs="Times New Roman"/>
          <w:sz w:val="28"/>
          <w:szCs w:val="28"/>
        </w:rPr>
        <w:t xml:space="preserve"> which affect the operations of the hospital and the negotiations over a new contract.</w:t>
      </w:r>
    </w:p>
    <w:p w14:paraId="4B526554" w14:textId="77777777" w:rsidR="002E2647" w:rsidRDefault="002E2647" w:rsidP="002E2647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3306125F" w14:textId="77777777" w:rsidR="002E2647" w:rsidRDefault="002E2647" w:rsidP="00E637E4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Howard University </w:t>
      </w:r>
      <w:r w:rsidR="00E637E4">
        <w:rPr>
          <w:rFonts w:ascii="Times New Roman" w:hAnsi="Times New Roman" w:cs="Times New Roman"/>
          <w:sz w:val="28"/>
          <w:szCs w:val="28"/>
        </w:rPr>
        <w:t xml:space="preserve">recently </w:t>
      </w:r>
      <w:r>
        <w:rPr>
          <w:rFonts w:ascii="Times New Roman" w:hAnsi="Times New Roman" w:cs="Times New Roman"/>
          <w:sz w:val="28"/>
          <w:szCs w:val="28"/>
        </w:rPr>
        <w:t>announced that</w:t>
      </w:r>
      <w:r w:rsidR="00E637E4">
        <w:rPr>
          <w:rFonts w:ascii="Times New Roman" w:hAnsi="Times New Roman" w:cs="Times New Roman"/>
          <w:sz w:val="28"/>
          <w:szCs w:val="28"/>
        </w:rPr>
        <w:t>, effective February 2026,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BEB">
        <w:rPr>
          <w:rFonts w:ascii="Times New Roman" w:hAnsi="Times New Roman" w:cs="Times New Roman"/>
          <w:sz w:val="28"/>
          <w:szCs w:val="28"/>
        </w:rPr>
        <w:t xml:space="preserve">HU and Adventist Health Care </w:t>
      </w:r>
      <w:r w:rsidR="00E637E4">
        <w:rPr>
          <w:rFonts w:ascii="Times New Roman" w:hAnsi="Times New Roman" w:cs="Times New Roman"/>
          <w:sz w:val="28"/>
          <w:szCs w:val="28"/>
        </w:rPr>
        <w:t>will</w:t>
      </w:r>
      <w:r>
        <w:rPr>
          <w:rFonts w:ascii="Times New Roman" w:hAnsi="Times New Roman" w:cs="Times New Roman"/>
          <w:sz w:val="28"/>
          <w:szCs w:val="28"/>
        </w:rPr>
        <w:t xml:space="preserve"> dissolv</w:t>
      </w:r>
      <w:r w:rsidR="00E637E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their partnership, in which AHC ran operations of the hospital</w:t>
      </w:r>
      <w:r w:rsidR="00936902">
        <w:rPr>
          <w:rFonts w:ascii="Times New Roman" w:hAnsi="Times New Roman" w:cs="Times New Roman"/>
          <w:sz w:val="28"/>
          <w:szCs w:val="28"/>
        </w:rPr>
        <w:t xml:space="preserve">. We were advised that this decision creates uncertainty </w:t>
      </w:r>
      <w:r w:rsidR="00F25BEB">
        <w:rPr>
          <w:rFonts w:ascii="Times New Roman" w:hAnsi="Times New Roman" w:cs="Times New Roman"/>
          <w:sz w:val="28"/>
          <w:szCs w:val="28"/>
        </w:rPr>
        <w:t>and, as a result, may impact bargaining throughout the transition period.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B8B99" w14:textId="77777777" w:rsidR="00F25BEB" w:rsidRDefault="00F25BEB" w:rsidP="00F25BEB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14:paraId="6F273230" w14:textId="77777777" w:rsidR="00936902" w:rsidRDefault="00936902" w:rsidP="00E637E4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were also informed of a critical financial </w:t>
      </w:r>
      <w:r w:rsidR="00F25BEB">
        <w:rPr>
          <w:rFonts w:ascii="Times New Roman" w:hAnsi="Times New Roman" w:cs="Times New Roman"/>
          <w:sz w:val="28"/>
          <w:szCs w:val="28"/>
        </w:rPr>
        <w:t xml:space="preserve">crisis at the hospital, with </w:t>
      </w:r>
      <w:r>
        <w:rPr>
          <w:rFonts w:ascii="Times New Roman" w:hAnsi="Times New Roman" w:cs="Times New Roman"/>
          <w:sz w:val="28"/>
          <w:szCs w:val="28"/>
        </w:rPr>
        <w:t xml:space="preserve">large deficits </w:t>
      </w:r>
      <w:r w:rsidR="00E637E4">
        <w:rPr>
          <w:rFonts w:ascii="Times New Roman" w:hAnsi="Times New Roman" w:cs="Times New Roman"/>
          <w:sz w:val="28"/>
          <w:szCs w:val="28"/>
        </w:rPr>
        <w:t>from</w:t>
      </w:r>
      <w:r>
        <w:rPr>
          <w:rFonts w:ascii="Times New Roman" w:hAnsi="Times New Roman" w:cs="Times New Roman"/>
          <w:sz w:val="28"/>
          <w:szCs w:val="28"/>
        </w:rPr>
        <w:t xml:space="preserve"> Fiscal Year 2024 (July 1, 2023 – June 30, 2024) and</w:t>
      </w:r>
      <w:r w:rsidR="00F25BEB">
        <w:rPr>
          <w:rFonts w:ascii="Times New Roman" w:hAnsi="Times New Roman" w:cs="Times New Roman"/>
          <w:sz w:val="28"/>
          <w:szCs w:val="28"/>
        </w:rPr>
        <w:t xml:space="preserve"> projected</w:t>
      </w:r>
      <w:r>
        <w:rPr>
          <w:rFonts w:ascii="Times New Roman" w:hAnsi="Times New Roman" w:cs="Times New Roman"/>
          <w:sz w:val="28"/>
          <w:szCs w:val="28"/>
        </w:rPr>
        <w:t xml:space="preserve"> for this Fiscal Year. We were advised that HUH is not prepared </w:t>
      </w:r>
      <w:r w:rsidR="00F25BEB">
        <w:rPr>
          <w:rFonts w:ascii="Times New Roman" w:hAnsi="Times New Roman" w:cs="Times New Roman"/>
          <w:sz w:val="28"/>
          <w:szCs w:val="28"/>
        </w:rPr>
        <w:t xml:space="preserve">for at least a “few weeks” </w:t>
      </w:r>
      <w:r>
        <w:rPr>
          <w:rFonts w:ascii="Times New Roman" w:hAnsi="Times New Roman" w:cs="Times New Roman"/>
          <w:sz w:val="28"/>
          <w:szCs w:val="28"/>
        </w:rPr>
        <w:t xml:space="preserve">to bargain over compensation proposals. </w:t>
      </w:r>
    </w:p>
    <w:p w14:paraId="4DBD51D3" w14:textId="77777777" w:rsidR="00936902" w:rsidRDefault="00936902" w:rsidP="00936902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14:paraId="72F8E530" w14:textId="77777777" w:rsidR="00936902" w:rsidRDefault="00936902" w:rsidP="00936902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Finally, regarding the building of a new hospital, we were advised that Howard University continues its plan; however, it has not finalized any construction agreement and could not state wh</w:t>
      </w:r>
      <w:r w:rsidR="00F25BEB">
        <w:rPr>
          <w:rFonts w:ascii="Times New Roman" w:hAnsi="Times New Roman" w:cs="Times New Roman"/>
          <w:sz w:val="28"/>
          <w:szCs w:val="28"/>
        </w:rPr>
        <w:t xml:space="preserve">ether the building would be </w:t>
      </w:r>
      <w:r>
        <w:rPr>
          <w:rFonts w:ascii="Times New Roman" w:hAnsi="Times New Roman" w:cs="Times New Roman"/>
          <w:sz w:val="28"/>
          <w:szCs w:val="28"/>
        </w:rPr>
        <w:t>a new hospital or an extension of the current hospital.</w:t>
      </w:r>
    </w:p>
    <w:p w14:paraId="517D64F6" w14:textId="77777777" w:rsidR="00936902" w:rsidRDefault="00936902" w:rsidP="00936902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52971B64" w14:textId="77777777" w:rsidR="00936902" w:rsidRDefault="00936902" w:rsidP="00936902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HUH committed to keeping DCNA abreast of any and all new details on finances and the construction of a new hospital or extension.</w:t>
      </w:r>
    </w:p>
    <w:p w14:paraId="0A02A5FF" w14:textId="77777777" w:rsidR="00003EB6" w:rsidRPr="005C1F93" w:rsidRDefault="00003EB6" w:rsidP="00E735D7">
      <w:pPr>
        <w:pStyle w:val="PlainText"/>
        <w:rPr>
          <w:rFonts w:asciiTheme="minorHAnsi" w:hAnsiTheme="minorHAnsi" w:cs="Times New Roman"/>
          <w:b/>
          <w:i/>
          <w:iCs/>
          <w:sz w:val="28"/>
          <w:szCs w:val="28"/>
        </w:rPr>
      </w:pPr>
    </w:p>
    <w:sectPr w:rsidR="00003EB6" w:rsidRPr="005C1F93" w:rsidSect="00B01D06"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22FBB"/>
    <w:multiLevelType w:val="hybridMultilevel"/>
    <w:tmpl w:val="8ADA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43A52"/>
    <w:multiLevelType w:val="hybridMultilevel"/>
    <w:tmpl w:val="38D0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2669B"/>
    <w:multiLevelType w:val="hybridMultilevel"/>
    <w:tmpl w:val="DE5AC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C5A32"/>
    <w:multiLevelType w:val="hybridMultilevel"/>
    <w:tmpl w:val="17DEFC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4F49A3"/>
    <w:multiLevelType w:val="hybridMultilevel"/>
    <w:tmpl w:val="F9F607B4"/>
    <w:lvl w:ilvl="0" w:tplc="8F402662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7A0E3339"/>
    <w:multiLevelType w:val="hybridMultilevel"/>
    <w:tmpl w:val="AA9CAD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161073">
    <w:abstractNumId w:val="1"/>
  </w:num>
  <w:num w:numId="2" w16cid:durableId="1466898659">
    <w:abstractNumId w:val="4"/>
  </w:num>
  <w:num w:numId="3" w16cid:durableId="1801990997">
    <w:abstractNumId w:val="5"/>
  </w:num>
  <w:num w:numId="4" w16cid:durableId="1712606464">
    <w:abstractNumId w:val="0"/>
  </w:num>
  <w:num w:numId="5" w16cid:durableId="454099659">
    <w:abstractNumId w:val="2"/>
  </w:num>
  <w:num w:numId="6" w16cid:durableId="687145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B5"/>
    <w:rsid w:val="00003EB6"/>
    <w:rsid w:val="000F43FB"/>
    <w:rsid w:val="00187D1F"/>
    <w:rsid w:val="001D568F"/>
    <w:rsid w:val="001E7B34"/>
    <w:rsid w:val="00232B96"/>
    <w:rsid w:val="00293E00"/>
    <w:rsid w:val="002E2647"/>
    <w:rsid w:val="003E204D"/>
    <w:rsid w:val="00407590"/>
    <w:rsid w:val="00482596"/>
    <w:rsid w:val="004A16B7"/>
    <w:rsid w:val="00512B2A"/>
    <w:rsid w:val="005613F8"/>
    <w:rsid w:val="00577E18"/>
    <w:rsid w:val="005C1F93"/>
    <w:rsid w:val="006738A7"/>
    <w:rsid w:val="00692D52"/>
    <w:rsid w:val="006A3294"/>
    <w:rsid w:val="006D3FDF"/>
    <w:rsid w:val="0071514A"/>
    <w:rsid w:val="007F7EC5"/>
    <w:rsid w:val="008465DD"/>
    <w:rsid w:val="008A3F3C"/>
    <w:rsid w:val="00936902"/>
    <w:rsid w:val="00942A9E"/>
    <w:rsid w:val="009E597A"/>
    <w:rsid w:val="00A143D7"/>
    <w:rsid w:val="00A15754"/>
    <w:rsid w:val="00A5519D"/>
    <w:rsid w:val="00A7689A"/>
    <w:rsid w:val="00AF6F2C"/>
    <w:rsid w:val="00B01D06"/>
    <w:rsid w:val="00B5717C"/>
    <w:rsid w:val="00B8198E"/>
    <w:rsid w:val="00BC73D7"/>
    <w:rsid w:val="00C077B5"/>
    <w:rsid w:val="00C26EEF"/>
    <w:rsid w:val="00C422D2"/>
    <w:rsid w:val="00C611BF"/>
    <w:rsid w:val="00CC185E"/>
    <w:rsid w:val="00CE3BE2"/>
    <w:rsid w:val="00D50D9A"/>
    <w:rsid w:val="00DC2512"/>
    <w:rsid w:val="00E637E4"/>
    <w:rsid w:val="00E735D7"/>
    <w:rsid w:val="00EA0FCB"/>
    <w:rsid w:val="00EE2933"/>
    <w:rsid w:val="00EE4C7E"/>
    <w:rsid w:val="00F25BEB"/>
    <w:rsid w:val="00F40304"/>
    <w:rsid w:val="00F8293D"/>
    <w:rsid w:val="00F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A39D"/>
  <w15:docId w15:val="{2EE35250-259B-4ED5-AB67-625C85B9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77B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77B5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59"/>
    <w:rsid w:val="0094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E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E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5C1F93"/>
    <w:pPr>
      <w:tabs>
        <w:tab w:val="left" w:pos="720"/>
      </w:tabs>
      <w:spacing w:after="0" w:line="240" w:lineRule="auto"/>
    </w:pPr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5C1F93"/>
    <w:rPr>
      <w:rFonts w:ascii="Arial" w:eastAsia="Times New Roman" w:hAnsi="Arial" w:cs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Smith</dc:creator>
  <cp:lastModifiedBy>Vickie Spence</cp:lastModifiedBy>
  <cp:revision>2</cp:revision>
  <cp:lastPrinted>2018-06-28T14:51:00Z</cp:lastPrinted>
  <dcterms:created xsi:type="dcterms:W3CDTF">2025-06-26T16:25:00Z</dcterms:created>
  <dcterms:modified xsi:type="dcterms:W3CDTF">2025-06-26T16:25:00Z</dcterms:modified>
</cp:coreProperties>
</file>